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7F" w:rsidRPr="00760E47" w:rsidRDefault="00760E47" w:rsidP="00760E47">
      <w:pPr>
        <w:jc w:val="center"/>
        <w:rPr>
          <w:b/>
        </w:rPr>
      </w:pPr>
      <w:r w:rsidRPr="00760E47">
        <w:rPr>
          <w:b/>
        </w:rPr>
        <w:t>Eligible Tier 1 and Tier 2 Counties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Adams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Ashtabula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Athens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Clinton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Columbiana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Coshocton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Crawford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Erie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Fayette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Gallia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Guernsey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Hocking *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Jackson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Jefferson *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Lawrence *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Marion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proofErr w:type="spellStart"/>
      <w:r>
        <w:t>Meigs</w:t>
      </w:r>
      <w:proofErr w:type="spellEnd"/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Morgan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Muskingum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Noble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Ottawa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Perry *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Pickaway *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Pike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Preble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Ross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Scioto</w:t>
      </w:r>
    </w:p>
    <w:p w:rsidR="00C17ADD" w:rsidRDefault="00C17ADD" w:rsidP="00760E47">
      <w:pPr>
        <w:pStyle w:val="ListParagraph"/>
        <w:numPr>
          <w:ilvl w:val="0"/>
          <w:numId w:val="1"/>
        </w:numPr>
      </w:pPr>
      <w:r>
        <w:t>Vinton</w:t>
      </w:r>
    </w:p>
    <w:p w:rsidR="00C17ADD" w:rsidRDefault="00C17ADD" w:rsidP="00C17ADD"/>
    <w:p w:rsidR="00C17ADD" w:rsidRDefault="00C17ADD" w:rsidP="00C17ADD">
      <w:r>
        <w:t>Note: Eligible Tier 1 and Tier 2 counties were taken from the following list with the addition of five Appalachian counties (denoted by *): h</w:t>
      </w:r>
      <w:bookmarkStart w:id="0" w:name="_GoBack"/>
      <w:bookmarkEnd w:id="0"/>
      <w:r w:rsidRPr="00C17ADD">
        <w:t>ttps://www.hrsa.gov/ruralhealth/resources/forhpeligibleareas.pdf</w:t>
      </w:r>
    </w:p>
    <w:sectPr w:rsidR="00C1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7852"/>
    <w:multiLevelType w:val="hybridMultilevel"/>
    <w:tmpl w:val="71FE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7"/>
    <w:rsid w:val="004B487F"/>
    <w:rsid w:val="00760E47"/>
    <w:rsid w:val="00C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2D9B"/>
  <w15:chartTrackingRefBased/>
  <w15:docId w15:val="{AA48E48B-51BD-4942-BF79-9ADD054A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Massatti, Richard</dc:creator>
  <cp:keywords/>
  <dc:description/>
  <cp:lastModifiedBy>Massatti, Richard</cp:lastModifiedBy>
  <cp:revision>1</cp:revision>
  <dcterms:created xsi:type="dcterms:W3CDTF">2017-08-09T19:28:00Z</dcterms:created>
  <dcterms:modified xsi:type="dcterms:W3CDTF">2017-08-09T19:49:00Z</dcterms:modified>
</cp:coreProperties>
</file>